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9464" w:type="dxa"/>
        <w:tblLayout w:type="fixed"/>
        <w:tblLook w:val="000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0F51E5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205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0F51E5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 w:rsidRPr="000F51E5"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8" o:title="" gain="2.5"/>
                  <w10:wrap type="square"/>
                </v:shape>
                <o:OLEObject Type="Embed" ProgID="Word.Picture.8" ShapeID="_x0000_s2055" DrawAspect="Content" ObjectID="_1727692208" r:id="rId9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вул.Мясн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кова,39, 220048, г.М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«Беларусбанк», Б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0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ул. 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в ОАО «АСБ «Беларусбанк»,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295C86" w:rsidRDefault="00295C86" w:rsidP="005715AB">
      <w:pPr>
        <w:pStyle w:val="af2"/>
        <w:numPr>
          <w:ilvl w:val="1"/>
          <w:numId w:val="12"/>
        </w:numPr>
        <w:ind w:left="0" w:firstLine="709"/>
        <w:jc w:val="both"/>
        <w:rPr>
          <w:szCs w:val="30"/>
        </w:rPr>
      </w:pPr>
      <w:r w:rsidRPr="00295C86">
        <w:rPr>
          <w:bCs/>
        </w:rPr>
        <w:t>П</w:t>
      </w:r>
      <w:r w:rsidR="004F4445" w:rsidRPr="00295C86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295C86">
        <w:rPr>
          <w:bCs/>
        </w:rPr>
        <w:t xml:space="preserve">28 августа </w:t>
      </w:r>
      <w:r w:rsidR="004F4445" w:rsidRPr="00295C86">
        <w:rPr>
          <w:bCs/>
        </w:rPr>
        <w:t>2020</w:t>
      </w:r>
      <w:r w:rsidR="002D1373" w:rsidRPr="00295C86">
        <w:rPr>
          <w:bCs/>
        </w:rPr>
        <w:t xml:space="preserve"> года</w:t>
      </w:r>
      <w:r w:rsidR="004F4445" w:rsidRPr="00295C86">
        <w:rPr>
          <w:bCs/>
        </w:rPr>
        <w:t xml:space="preserve"> № 20 </w:t>
      </w:r>
      <w:r w:rsidR="004F4445" w:rsidRPr="00295C86">
        <w:rPr>
          <w:szCs w:val="30"/>
        </w:rPr>
        <w:t xml:space="preserve">«Об утверждении требований контрольного списка вопросов (чек-листа)» </w:t>
      </w:r>
      <w:r w:rsidRPr="00295C86">
        <w:rPr>
          <w:szCs w:val="30"/>
        </w:rPr>
        <w:t xml:space="preserve">изложить в </w:t>
      </w:r>
      <w:r w:rsidR="00D73F59">
        <w:rPr>
          <w:szCs w:val="30"/>
        </w:rPr>
        <w:t xml:space="preserve">новой </w:t>
      </w:r>
      <w:r w:rsidRPr="00295C86">
        <w:rPr>
          <w:szCs w:val="30"/>
        </w:rPr>
        <w:t xml:space="preserve"> редакции</w:t>
      </w:r>
      <w:r w:rsidR="00D73F59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 xml:space="preserve">Республики Беларусь от 31 мая 2019 года № 46 «Об утверждении требований контрольного списка вопросов (чек-листа)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(чек-листа)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(чек-листа)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A69C5">
        <w:rPr>
          <w:bCs/>
        </w:rPr>
        <w:t>А.А.Тарасенко</w:t>
      </w:r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2"/>
          <w:headerReference w:type="first" r:id="rId13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Главного государственного с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ТР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r w:rsidRPr="008A4161">
        <w:rPr>
          <w:sz w:val="24"/>
        </w:rPr>
        <w:t>ТР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>&lt;*&gt;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proofErr w:type="spellStart"/>
      <w:r w:rsidRPr="00382583">
        <w:rPr>
          <w:b/>
          <w:bCs/>
          <w:sz w:val="24"/>
          <w:lang w:val="en-US" w:eastAsia="en-US"/>
        </w:rPr>
        <w:t>Оценкарезультатов</w:t>
      </w:r>
      <w:proofErr w:type="spellEnd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382583">
              <w:rPr>
                <w:sz w:val="24"/>
                <w:lang w:eastAsia="en-US"/>
              </w:rPr>
              <w:t>санэпидблагополу</w:t>
            </w:r>
            <w:proofErr w:type="spellEnd"/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чия</w:t>
            </w:r>
            <w:proofErr w:type="spellEnd"/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Факти</w:t>
            </w:r>
            <w:proofErr w:type="spellEnd"/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ческое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мальное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382583">
              <w:rPr>
                <w:sz w:val="24"/>
                <w:lang w:eastAsia="en-US"/>
              </w:rPr>
              <w:t>ный</w:t>
            </w:r>
            <w:proofErr w:type="spellEnd"/>
            <w:r w:rsidRPr="00382583">
              <w:rPr>
                <w:sz w:val="24"/>
                <w:lang w:eastAsia="en-US"/>
              </w:rPr>
              <w:t xml:space="preserve">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BA" w:rsidRDefault="00907CBA" w:rsidP="00AA4C50">
      <w:r>
        <w:separator/>
      </w:r>
    </w:p>
  </w:endnote>
  <w:endnote w:type="continuationSeparator" w:id="1">
    <w:p w:rsidR="00907CBA" w:rsidRDefault="00907CBA" w:rsidP="00AA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BA" w:rsidRDefault="00907CBA" w:rsidP="00AA4C50">
      <w:r>
        <w:separator/>
      </w:r>
    </w:p>
  </w:footnote>
  <w:footnote w:type="continuationSeparator" w:id="1">
    <w:p w:rsidR="00907CBA" w:rsidRDefault="00907CBA" w:rsidP="00AA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Pr="008B2BBD" w:rsidRDefault="000F51E5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B75AD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747807"/>
      <w:docPartObj>
        <w:docPartGallery w:val="Page Numbers (Top of Page)"/>
        <w:docPartUnique/>
      </w:docPartObj>
    </w:sdtPr>
    <w:sdtContent>
      <w:p w:rsidR="000A2D83" w:rsidRDefault="000F51E5">
        <w:pPr>
          <w:pStyle w:val="ab"/>
          <w:jc w:val="center"/>
        </w:pPr>
        <w:r>
          <w:fldChar w:fldCharType="begin"/>
        </w:r>
        <w:r w:rsidR="000A2D83">
          <w:instrText>PAGE   \* MERGEFORMAT</w:instrText>
        </w:r>
        <w:r>
          <w:fldChar w:fldCharType="separate"/>
        </w:r>
        <w:r w:rsidR="00B75AD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/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F51E5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07CBA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5AD7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34645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rb@belcmt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zrb@belcmt.b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1133</Words>
  <Characters>8844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9958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ХРИСТЕНКО Елена</cp:lastModifiedBy>
  <cp:revision>3</cp:revision>
  <cp:lastPrinted>2022-09-20T07:07:00Z</cp:lastPrinted>
  <dcterms:created xsi:type="dcterms:W3CDTF">2022-10-18T11:47:00Z</dcterms:created>
  <dcterms:modified xsi:type="dcterms:W3CDTF">2022-10-19T10:43:00Z</dcterms:modified>
</cp:coreProperties>
</file>